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0313D2" w:rsidRDefault="00000000">
      <w:pPr>
        <w:jc w:val="both"/>
      </w:pPr>
      <w:r>
        <w:t>Gacetilla de Prensa</w:t>
      </w:r>
    </w:p>
    <w:p w14:paraId="00000002" w14:textId="77777777" w:rsidR="000313D2" w:rsidRDefault="00000000">
      <w:pPr>
        <w:jc w:val="both"/>
      </w:pPr>
      <w:r>
        <w:t>Congreso Mundial de Apoyos y Cuidados de Personas Adultas y Mayores: De la Curatela a la Autonomía Personal.</w:t>
      </w:r>
    </w:p>
    <w:p w14:paraId="00000003" w14:textId="77777777" w:rsidR="000313D2" w:rsidRDefault="00000000">
      <w:pPr>
        <w:jc w:val="both"/>
      </w:pPr>
      <w:r>
        <w:t>Buenos Aires, 27 al 30 de agosto de 2024.</w:t>
      </w:r>
    </w:p>
    <w:p w14:paraId="00000004" w14:textId="77777777" w:rsidR="000313D2" w:rsidRDefault="000313D2">
      <w:pPr>
        <w:jc w:val="both"/>
      </w:pPr>
    </w:p>
    <w:p w14:paraId="00000005" w14:textId="77777777" w:rsidR="000313D2" w:rsidRDefault="000313D2">
      <w:pPr>
        <w:jc w:val="both"/>
      </w:pPr>
    </w:p>
    <w:p w14:paraId="00000006" w14:textId="77777777" w:rsidR="000313D2" w:rsidRDefault="00000000">
      <w:pPr>
        <w:jc w:val="both"/>
      </w:pPr>
      <w:r>
        <w:t>La Ciudad Autónoma de Buenos Aires será sede del prestigioso Congreso Mundial de Apoyos y Cuidados de Personas Adultas y Mayores, titulado "De la Curatela a la Autonomía Personal", que se realizará por primera vez en Latinoamérica.</w:t>
      </w:r>
    </w:p>
    <w:p w14:paraId="00000007" w14:textId="77777777" w:rsidR="000313D2" w:rsidRDefault="00000000">
      <w:pPr>
        <w:jc w:val="both"/>
      </w:pPr>
      <w:r>
        <w:t xml:space="preserve">El evento se llevará a cabo del 27 al 30 de agosto de 2024 en la Facultad de Derecho de la Universidad de Buenos Aires y está presidido por la Dra. Isolina </w:t>
      </w:r>
      <w:proofErr w:type="spellStart"/>
      <w:r>
        <w:t>Dabove</w:t>
      </w:r>
      <w:proofErr w:type="spellEnd"/>
      <w:r>
        <w:t xml:space="preserve"> (Argentina), miembro del Consejo Asesor de la “International </w:t>
      </w:r>
      <w:proofErr w:type="spellStart"/>
      <w:r>
        <w:t>Guardianship</w:t>
      </w:r>
      <w:proofErr w:type="spellEnd"/>
      <w:r>
        <w:t xml:space="preserve"> Network (IGN)” desde la cual se desarrollan estos encuentros, y por Josep Solé Chavero (España) en calidad de vicepresidente.</w:t>
      </w:r>
    </w:p>
    <w:p w14:paraId="00000008" w14:textId="77777777" w:rsidR="000313D2" w:rsidRDefault="00000000">
      <w:pPr>
        <w:jc w:val="both"/>
      </w:pPr>
      <w:r>
        <w:t xml:space="preserve">La </w:t>
      </w:r>
      <w:r>
        <w:rPr>
          <w:b/>
        </w:rPr>
        <w:t xml:space="preserve">International </w:t>
      </w:r>
      <w:proofErr w:type="spellStart"/>
      <w:r>
        <w:rPr>
          <w:b/>
        </w:rPr>
        <w:t>Guardianship</w:t>
      </w:r>
      <w:proofErr w:type="spellEnd"/>
      <w:r>
        <w:rPr>
          <w:b/>
        </w:rPr>
        <w:t xml:space="preserve"> Network (IGN),</w:t>
      </w:r>
      <w:r>
        <w:t xml:space="preserve"> una organización no gubernamental y sin fines de lucro dedicada a brindar información, capacitación e intercambio académico a profesionales, curadores, cuidadores de personas con discapacidad y dependencia, familiares, voluntarios y todos aquellos vinculados a las tareas de apoyo, asistencia y representación de personas mayores de edad. Además, promueve la vida independiente en el ámbito jurídico, político, económico y social.</w:t>
      </w:r>
    </w:p>
    <w:p w14:paraId="00000009" w14:textId="77777777" w:rsidR="000313D2" w:rsidRDefault="00000000">
      <w:pPr>
        <w:jc w:val="both"/>
      </w:pPr>
      <w:r>
        <w:t xml:space="preserve"> Está compuesta por organizaciones locales y nacionales, privadas y públicas, y por personas que actúan como apoyos, curadores, profesionales, funcionarios judiciales, magistrados, voluntarios y encargados de la planificación de políticas en esta materia de todo el mundo. La institución trabaja en el marco de la Convención Internacional sobre la Protección de los Derechos de las Personas con Discapacidad (ONU, 2006) y la Convención Interamericana sobre la Protección de los Derechos Humanos de las Personas Mayores (OEA, 2015).</w:t>
      </w:r>
    </w:p>
    <w:p w14:paraId="0000000A" w14:textId="77777777" w:rsidR="000313D2" w:rsidRDefault="00000000">
      <w:pPr>
        <w:jc w:val="both"/>
      </w:pPr>
      <w:r>
        <w:t xml:space="preserve">En este Congreso Mundial, Participarán 212 expositores (plenarios, panelistas, talleristas y moderadores), de 32 países de los 5 continentes.  La apertura estará a cargo del Dr. Horacio </w:t>
      </w:r>
      <w:proofErr w:type="spellStart"/>
      <w:r>
        <w:t>Rosatti</w:t>
      </w:r>
      <w:proofErr w:type="spellEnd"/>
      <w:r>
        <w:t xml:space="preserve">, </w:t>
      </w:r>
      <w:proofErr w:type="gramStart"/>
      <w:r>
        <w:t>Presidente</w:t>
      </w:r>
      <w:proofErr w:type="gramEnd"/>
      <w:r>
        <w:t xml:space="preserve"> de la Corte Suprema de Justicia de la Nación.  Entre los más destacados de nuestro país disertarán: Aida Kemelmajer, </w:t>
      </w:r>
      <w:proofErr w:type="spellStart"/>
      <w:r>
        <w:t>Victor</w:t>
      </w:r>
      <w:proofErr w:type="spellEnd"/>
      <w:r>
        <w:t xml:space="preserve"> </w:t>
      </w:r>
      <w:proofErr w:type="spellStart"/>
      <w:r>
        <w:t>Abramovich</w:t>
      </w:r>
      <w:proofErr w:type="spellEnd"/>
      <w:r>
        <w:t xml:space="preserve">, </w:t>
      </w:r>
      <w:proofErr w:type="spellStart"/>
      <w:r>
        <w:t>Sebastian</w:t>
      </w:r>
      <w:proofErr w:type="spellEnd"/>
      <w:r>
        <w:t xml:space="preserve"> </w:t>
      </w:r>
      <w:proofErr w:type="spellStart"/>
      <w:r>
        <w:t>Cosola</w:t>
      </w:r>
      <w:proofErr w:type="spellEnd"/>
      <w:r>
        <w:t xml:space="preserve">, José Ricardo Jáuregui, Ricardo </w:t>
      </w:r>
      <w:proofErr w:type="spellStart"/>
      <w:r>
        <w:t>Iacub</w:t>
      </w:r>
      <w:proofErr w:type="spellEnd"/>
      <w:r>
        <w:t xml:space="preserve">, Julio Conte Grand, Alicia </w:t>
      </w:r>
      <w:proofErr w:type="spellStart"/>
      <w:r>
        <w:t>Rajmil</w:t>
      </w:r>
      <w:proofErr w:type="spellEnd"/>
      <w:r>
        <w:t xml:space="preserve">, Gabriel </w:t>
      </w:r>
      <w:proofErr w:type="spellStart"/>
      <w:r>
        <w:t>Clusellas</w:t>
      </w:r>
      <w:proofErr w:type="spellEnd"/>
      <w:r>
        <w:t xml:space="preserve">, Agustina Palacios, Marcos Córdoba, Lidia Garrido </w:t>
      </w:r>
      <w:proofErr w:type="spellStart"/>
      <w:r>
        <w:t>Cordobera</w:t>
      </w:r>
      <w:proofErr w:type="spellEnd"/>
      <w:r>
        <w:t xml:space="preserve">, Jorge </w:t>
      </w:r>
      <w:proofErr w:type="spellStart"/>
      <w:r>
        <w:t>Berbere</w:t>
      </w:r>
      <w:proofErr w:type="spellEnd"/>
      <w:r>
        <w:t xml:space="preserve"> Delgado, Renato </w:t>
      </w:r>
      <w:proofErr w:type="spellStart"/>
      <w:r>
        <w:t>Rabbi</w:t>
      </w:r>
      <w:proofErr w:type="spellEnd"/>
      <w:r>
        <w:t xml:space="preserve"> Baldi, Diego </w:t>
      </w:r>
      <w:proofErr w:type="spellStart"/>
      <w:r>
        <w:t>Duquelsky</w:t>
      </w:r>
      <w:proofErr w:type="spellEnd"/>
      <w:r>
        <w:t xml:space="preserve">, Florencia Luna, Susana Medina, Alejandro </w:t>
      </w:r>
      <w:proofErr w:type="spellStart"/>
      <w:r>
        <w:t>Nató</w:t>
      </w:r>
      <w:proofErr w:type="spellEnd"/>
      <w:r>
        <w:t xml:space="preserve">, Atilio Álvarez, entre muchos otros. </w:t>
      </w:r>
    </w:p>
    <w:p w14:paraId="0000000B" w14:textId="77777777" w:rsidR="000313D2" w:rsidRDefault="00000000">
      <w:pPr>
        <w:jc w:val="both"/>
      </w:pPr>
      <w:r>
        <w:t xml:space="preserve">El Congreso abordara cinco ejes temáticos básicos. </w:t>
      </w:r>
    </w:p>
    <w:p w14:paraId="0000000C" w14:textId="77777777" w:rsidR="000313D2" w:rsidRDefault="00000000">
      <w:pPr>
        <w:numPr>
          <w:ilvl w:val="0"/>
          <w:numId w:val="1"/>
        </w:numPr>
        <w:pBdr>
          <w:top w:val="nil"/>
          <w:left w:val="nil"/>
          <w:bottom w:val="nil"/>
          <w:right w:val="nil"/>
          <w:between w:val="nil"/>
        </w:pBdr>
        <w:spacing w:after="0"/>
        <w:jc w:val="both"/>
      </w:pPr>
      <w:r>
        <w:rPr>
          <w:color w:val="000000"/>
        </w:rPr>
        <w:t xml:space="preserve">El </w:t>
      </w:r>
      <w:r>
        <w:rPr>
          <w:b/>
          <w:color w:val="000000"/>
        </w:rPr>
        <w:t>panorama mundial sobre los apoyo y cuidados de personas adultas y mayore</w:t>
      </w:r>
      <w:r>
        <w:rPr>
          <w:color w:val="000000"/>
        </w:rPr>
        <w:t>s en América Latina, Estados Unidos y Canadá, Europa, Sudeste Asiático e Israel, y Oceanía y África.</w:t>
      </w:r>
    </w:p>
    <w:p w14:paraId="0000000D" w14:textId="77777777" w:rsidR="000313D2" w:rsidRDefault="00000000">
      <w:pPr>
        <w:numPr>
          <w:ilvl w:val="0"/>
          <w:numId w:val="1"/>
        </w:numPr>
        <w:pBdr>
          <w:top w:val="nil"/>
          <w:left w:val="nil"/>
          <w:bottom w:val="nil"/>
          <w:right w:val="nil"/>
          <w:between w:val="nil"/>
        </w:pBdr>
        <w:spacing w:after="0"/>
        <w:jc w:val="both"/>
      </w:pPr>
      <w:r>
        <w:rPr>
          <w:color w:val="000000"/>
        </w:rPr>
        <w:t xml:space="preserve">La </w:t>
      </w:r>
      <w:r>
        <w:rPr>
          <w:b/>
          <w:color w:val="000000"/>
        </w:rPr>
        <w:t>perspectiva de género sobre apoyos y cuidados</w:t>
      </w:r>
      <w:r>
        <w:rPr>
          <w:color w:val="000000"/>
        </w:rPr>
        <w:t xml:space="preserve">, con referencia a derechos sexuales y reproductivos, maternidad y organización familiar, aportes a la seguridad social, y </w:t>
      </w:r>
      <w:proofErr w:type="spellStart"/>
      <w:r>
        <w:rPr>
          <w:color w:val="000000"/>
        </w:rPr>
        <w:t>abusp</w:t>
      </w:r>
      <w:proofErr w:type="spellEnd"/>
      <w:r>
        <w:rPr>
          <w:color w:val="000000"/>
        </w:rPr>
        <w:t>, maltrato y violencia contra adultos y personas mayores con discapacidad.</w:t>
      </w:r>
    </w:p>
    <w:p w14:paraId="0000000E" w14:textId="77777777" w:rsidR="000313D2" w:rsidRDefault="00000000">
      <w:pPr>
        <w:numPr>
          <w:ilvl w:val="0"/>
          <w:numId w:val="1"/>
        </w:numPr>
        <w:pBdr>
          <w:top w:val="nil"/>
          <w:left w:val="nil"/>
          <w:bottom w:val="nil"/>
          <w:right w:val="nil"/>
          <w:between w:val="nil"/>
        </w:pBdr>
        <w:spacing w:after="0"/>
        <w:jc w:val="both"/>
      </w:pPr>
      <w:r>
        <w:rPr>
          <w:b/>
          <w:color w:val="000000"/>
        </w:rPr>
        <w:t>Salud mental, la autonomía y la dependencia de adultos y personas mayore</w:t>
      </w:r>
      <w:r>
        <w:rPr>
          <w:color w:val="000000"/>
        </w:rPr>
        <w:t xml:space="preserve">s (directivas anticipadas y poderes para ayudar a las personas a planificar el futuro; </w:t>
      </w:r>
      <w:r>
        <w:rPr>
          <w:color w:val="000000"/>
        </w:rPr>
        <w:lastRenderedPageBreak/>
        <w:t>sistemas de apoyo a la toma de decisiones financieras; accesibilidad, ajustes razonables y avances en la tecnología (salud digital, robótica, inteligencia artificial)</w:t>
      </w:r>
    </w:p>
    <w:p w14:paraId="0000000F" w14:textId="77777777" w:rsidR="000313D2" w:rsidRDefault="00000000">
      <w:pPr>
        <w:numPr>
          <w:ilvl w:val="0"/>
          <w:numId w:val="1"/>
        </w:numPr>
        <w:pBdr>
          <w:top w:val="nil"/>
          <w:left w:val="nil"/>
          <w:bottom w:val="nil"/>
          <w:right w:val="nil"/>
          <w:between w:val="nil"/>
        </w:pBdr>
        <w:spacing w:after="0"/>
        <w:jc w:val="both"/>
      </w:pPr>
      <w:r>
        <w:rPr>
          <w:color w:val="000000"/>
        </w:rPr>
        <w:t>Capacidad jurídica y la vida independiente: acceso a la justicia y defensa de la capacidad jurídica; determinación de la capacidad jurídica, interdisciplina; control judicial de constitucionalidad y convencionalidad; responsabilidad legal de quienes apoyan y cuidan, las familias, los profesionales y el sistema judicial.</w:t>
      </w:r>
    </w:p>
    <w:p w14:paraId="00000010" w14:textId="77777777" w:rsidR="000313D2" w:rsidRDefault="00000000">
      <w:pPr>
        <w:numPr>
          <w:ilvl w:val="0"/>
          <w:numId w:val="1"/>
        </w:numPr>
        <w:pBdr>
          <w:top w:val="nil"/>
          <w:left w:val="nil"/>
          <w:bottom w:val="nil"/>
          <w:right w:val="nil"/>
          <w:between w:val="nil"/>
        </w:pBdr>
        <w:jc w:val="both"/>
      </w:pPr>
      <w:r>
        <w:rPr>
          <w:b/>
          <w:color w:val="000000"/>
        </w:rPr>
        <w:t>Modos y herramientas de apoyos y cuidados en diferentes entornos.</w:t>
      </w:r>
      <w:r>
        <w:rPr>
          <w:color w:val="000000"/>
        </w:rPr>
        <w:t xml:space="preserve"> Esto incluye atención formal e informal, apoyo en comunidades multiculturales y diversas, papel de las ONG y las políticas públicas en el cuidado; impacto del cambio climático, las emergencias y los desastres; ética del cuidado, Importancia de la educación y el desarrollo cognitivo, y el papel de la cultura, el arte y los deportes en la promoción de una vida significativa para personas adultas y mayores que necesitan asistencia.</w:t>
      </w:r>
    </w:p>
    <w:p w14:paraId="00000011" w14:textId="77777777" w:rsidR="000313D2" w:rsidRDefault="00000000">
      <w:pPr>
        <w:jc w:val="both"/>
      </w:pPr>
      <w:r>
        <w:t>Habrá premios a la Investigación y Concurso de Pósteres, su presentación se extendió hasta el próximo 07/08 la fecha final de entrega, sin postergación. Las bases y condiciones la encuentran en https://accionespositivas.com.ar/es y para informes y envío de trabajos al correo ponenciasyposters2024@gmail.com</w:t>
      </w:r>
    </w:p>
    <w:p w14:paraId="00000012" w14:textId="77777777" w:rsidR="000313D2" w:rsidRDefault="00000000">
      <w:pPr>
        <w:jc w:val="both"/>
      </w:pPr>
      <w:r>
        <w:t>Durante el congreso se llevarán a cabo una serie de actividades, incluyendo talleres, seminarios y conferencias, con el objetivo de fortalecer y ampliar la aplicación de estos marcos normativos en todo el mundo. La IGN también respalda la concreción de proyectos innovadores que promuevan la autonomía y el bienestar de las personas mayores.</w:t>
      </w:r>
    </w:p>
    <w:p w14:paraId="00000013" w14:textId="77777777" w:rsidR="000313D2" w:rsidRDefault="00000000">
      <w:pPr>
        <w:jc w:val="both"/>
      </w:pPr>
      <w:r>
        <w:t xml:space="preserve">Estaba previsto que este Congreso se </w:t>
      </w:r>
      <w:proofErr w:type="gramStart"/>
      <w:r>
        <w:t>realizara</w:t>
      </w:r>
      <w:proofErr w:type="gramEnd"/>
      <w:r>
        <w:t xml:space="preserve"> en septiembre de 2020 y, si bien la pandemia nos impidió hacerlo, el espíritu resiliente del equipo organizador hizo que pudiéramos concretarlo este año. Muchas son las instituciones, </w:t>
      </w:r>
      <w:proofErr w:type="spellStart"/>
      <w:r>
        <w:t>ONGs</w:t>
      </w:r>
      <w:proofErr w:type="spellEnd"/>
      <w:r>
        <w:t xml:space="preserve"> y empresas que han brindado su apoyo a este encuentro. Por orden alfabético ellas son: </w:t>
      </w:r>
    </w:p>
    <w:p w14:paraId="00000014" w14:textId="77777777" w:rsidR="000313D2" w:rsidRDefault="00000000">
      <w:pPr>
        <w:numPr>
          <w:ilvl w:val="0"/>
          <w:numId w:val="2"/>
        </w:numPr>
        <w:pBdr>
          <w:top w:val="nil"/>
          <w:left w:val="nil"/>
          <w:bottom w:val="nil"/>
          <w:right w:val="nil"/>
          <w:between w:val="nil"/>
        </w:pBdr>
        <w:spacing w:after="0"/>
        <w:jc w:val="both"/>
      </w:pPr>
      <w:r>
        <w:rPr>
          <w:color w:val="000000"/>
        </w:rPr>
        <w:t>Centro de Investigaciones en Derecho de la Vejez, Facultad de Derecho, Universidad Nacional de Rosario (UNR)</w:t>
      </w:r>
    </w:p>
    <w:p w14:paraId="00000015" w14:textId="77777777" w:rsidR="000313D2" w:rsidRDefault="00000000">
      <w:pPr>
        <w:numPr>
          <w:ilvl w:val="0"/>
          <w:numId w:val="2"/>
        </w:numPr>
        <w:pBdr>
          <w:top w:val="nil"/>
          <w:left w:val="nil"/>
          <w:bottom w:val="nil"/>
          <w:right w:val="nil"/>
          <w:between w:val="nil"/>
        </w:pBdr>
        <w:spacing w:after="0"/>
        <w:jc w:val="both"/>
      </w:pPr>
      <w:r>
        <w:rPr>
          <w:color w:val="000000"/>
        </w:rPr>
        <w:t>Colegio de Escribanos de Rosario</w:t>
      </w:r>
    </w:p>
    <w:p w14:paraId="00000016" w14:textId="77777777" w:rsidR="000313D2" w:rsidRDefault="00000000">
      <w:pPr>
        <w:numPr>
          <w:ilvl w:val="0"/>
          <w:numId w:val="2"/>
        </w:numPr>
        <w:pBdr>
          <w:top w:val="nil"/>
          <w:left w:val="nil"/>
          <w:bottom w:val="nil"/>
          <w:right w:val="nil"/>
          <w:between w:val="nil"/>
        </w:pBdr>
        <w:spacing w:after="0"/>
        <w:jc w:val="both"/>
      </w:pPr>
      <w:r>
        <w:rPr>
          <w:color w:val="000000"/>
        </w:rPr>
        <w:t>Colegio de Escribanos de la Provincia de Buenos Aires</w:t>
      </w:r>
    </w:p>
    <w:p w14:paraId="00000017" w14:textId="77777777" w:rsidR="000313D2" w:rsidRDefault="00000000">
      <w:pPr>
        <w:numPr>
          <w:ilvl w:val="0"/>
          <w:numId w:val="2"/>
        </w:numPr>
        <w:pBdr>
          <w:top w:val="nil"/>
          <w:left w:val="nil"/>
          <w:bottom w:val="nil"/>
          <w:right w:val="nil"/>
          <w:between w:val="nil"/>
        </w:pBdr>
        <w:spacing w:after="0"/>
        <w:jc w:val="both"/>
      </w:pPr>
      <w:r>
        <w:rPr>
          <w:color w:val="000000"/>
        </w:rPr>
        <w:t>Consejo Nacional de Investigaciones Científicas y Técnicas (CONICET)</w:t>
      </w:r>
    </w:p>
    <w:p w14:paraId="00000018" w14:textId="77777777" w:rsidR="000313D2" w:rsidRDefault="00000000">
      <w:pPr>
        <w:numPr>
          <w:ilvl w:val="0"/>
          <w:numId w:val="2"/>
        </w:numPr>
        <w:pBdr>
          <w:top w:val="nil"/>
          <w:left w:val="nil"/>
          <w:bottom w:val="nil"/>
          <w:right w:val="nil"/>
          <w:between w:val="nil"/>
        </w:pBdr>
        <w:spacing w:after="0"/>
        <w:jc w:val="both"/>
      </w:pPr>
      <w:r>
        <w:rPr>
          <w:color w:val="000000"/>
        </w:rPr>
        <w:t>Defensoría General de la Nación</w:t>
      </w:r>
    </w:p>
    <w:p w14:paraId="00000019" w14:textId="77777777" w:rsidR="000313D2" w:rsidRDefault="00000000">
      <w:pPr>
        <w:numPr>
          <w:ilvl w:val="0"/>
          <w:numId w:val="2"/>
        </w:numPr>
        <w:pBdr>
          <w:top w:val="nil"/>
          <w:left w:val="nil"/>
          <w:bottom w:val="nil"/>
          <w:right w:val="nil"/>
          <w:between w:val="nil"/>
        </w:pBdr>
        <w:spacing w:after="0"/>
        <w:jc w:val="both"/>
      </w:pPr>
      <w:r>
        <w:rPr>
          <w:color w:val="000000"/>
        </w:rPr>
        <w:t xml:space="preserve">International </w:t>
      </w:r>
      <w:proofErr w:type="spellStart"/>
      <w:r>
        <w:rPr>
          <w:color w:val="000000"/>
        </w:rPr>
        <w:t>Guardianship</w:t>
      </w:r>
      <w:proofErr w:type="spellEnd"/>
      <w:r>
        <w:rPr>
          <w:color w:val="000000"/>
        </w:rPr>
        <w:t xml:space="preserve"> Network (IGN)</w:t>
      </w:r>
    </w:p>
    <w:p w14:paraId="0000001A" w14:textId="77777777" w:rsidR="000313D2" w:rsidRDefault="00000000">
      <w:pPr>
        <w:numPr>
          <w:ilvl w:val="0"/>
          <w:numId w:val="2"/>
        </w:numPr>
        <w:pBdr>
          <w:top w:val="nil"/>
          <w:left w:val="nil"/>
          <w:bottom w:val="nil"/>
          <w:right w:val="nil"/>
          <w:between w:val="nil"/>
        </w:pBdr>
        <w:spacing w:after="0"/>
        <w:jc w:val="both"/>
      </w:pPr>
      <w:r>
        <w:rPr>
          <w:color w:val="000000"/>
        </w:rPr>
        <w:t xml:space="preserve">Instituto Ambrosio L. </w:t>
      </w:r>
      <w:proofErr w:type="spellStart"/>
      <w:r>
        <w:rPr>
          <w:color w:val="000000"/>
        </w:rPr>
        <w:t>Gioja</w:t>
      </w:r>
      <w:proofErr w:type="spellEnd"/>
      <w:r>
        <w:rPr>
          <w:color w:val="000000"/>
        </w:rPr>
        <w:t>, Universidad de Buenos Aires (UBA)</w:t>
      </w:r>
    </w:p>
    <w:p w14:paraId="0000001B" w14:textId="77777777" w:rsidR="000313D2" w:rsidRDefault="00000000">
      <w:pPr>
        <w:numPr>
          <w:ilvl w:val="0"/>
          <w:numId w:val="2"/>
        </w:numPr>
        <w:pBdr>
          <w:top w:val="nil"/>
          <w:left w:val="nil"/>
          <w:bottom w:val="nil"/>
          <w:right w:val="nil"/>
          <w:between w:val="nil"/>
        </w:pBdr>
        <w:spacing w:after="0"/>
        <w:jc w:val="both"/>
      </w:pPr>
      <w:r>
        <w:rPr>
          <w:color w:val="000000"/>
        </w:rPr>
        <w:t xml:space="preserve">International Network </w:t>
      </w:r>
      <w:proofErr w:type="spellStart"/>
      <w:r>
        <w:rPr>
          <w:color w:val="000000"/>
        </w:rPr>
        <w:t>for</w:t>
      </w:r>
      <w:proofErr w:type="spellEnd"/>
      <w:r>
        <w:rPr>
          <w:color w:val="000000"/>
        </w:rPr>
        <w:t xml:space="preserve"> </w:t>
      </w:r>
      <w:proofErr w:type="spellStart"/>
      <w:r>
        <w:rPr>
          <w:color w:val="000000"/>
        </w:rPr>
        <w:t>the</w:t>
      </w:r>
      <w:proofErr w:type="spellEnd"/>
      <w:r>
        <w:rPr>
          <w:color w:val="000000"/>
        </w:rPr>
        <w:t xml:space="preserve"> </w:t>
      </w:r>
      <w:proofErr w:type="spellStart"/>
      <w:r>
        <w:rPr>
          <w:color w:val="000000"/>
        </w:rPr>
        <w:t>Prevention</w:t>
      </w:r>
      <w:proofErr w:type="spellEnd"/>
      <w:r>
        <w:rPr>
          <w:color w:val="000000"/>
        </w:rPr>
        <w:t xml:space="preserve"> </w:t>
      </w:r>
      <w:proofErr w:type="spellStart"/>
      <w:r>
        <w:rPr>
          <w:color w:val="000000"/>
        </w:rPr>
        <w:t>of</w:t>
      </w:r>
      <w:proofErr w:type="spellEnd"/>
      <w:r>
        <w:rPr>
          <w:color w:val="000000"/>
        </w:rPr>
        <w:t xml:space="preserve"> Elder Abuse (INPEA)</w:t>
      </w:r>
    </w:p>
    <w:p w14:paraId="0000001C" w14:textId="77777777" w:rsidR="000313D2" w:rsidRDefault="00000000">
      <w:pPr>
        <w:numPr>
          <w:ilvl w:val="0"/>
          <w:numId w:val="2"/>
        </w:numPr>
        <w:pBdr>
          <w:top w:val="nil"/>
          <w:left w:val="nil"/>
          <w:bottom w:val="nil"/>
          <w:right w:val="nil"/>
          <w:between w:val="nil"/>
        </w:pBdr>
        <w:spacing w:after="0"/>
        <w:jc w:val="both"/>
      </w:pPr>
      <w:r>
        <w:rPr>
          <w:color w:val="000000"/>
        </w:rPr>
        <w:t xml:space="preserve">International </w:t>
      </w:r>
      <w:proofErr w:type="spellStart"/>
      <w:r>
        <w:rPr>
          <w:color w:val="000000"/>
        </w:rPr>
        <w:t>Longevity</w:t>
      </w:r>
      <w:proofErr w:type="spellEnd"/>
      <w:r>
        <w:rPr>
          <w:color w:val="000000"/>
        </w:rPr>
        <w:t xml:space="preserve"> Centre Argentina (ILC)</w:t>
      </w:r>
    </w:p>
    <w:p w14:paraId="0000001D" w14:textId="77777777" w:rsidR="000313D2" w:rsidRDefault="00000000">
      <w:pPr>
        <w:numPr>
          <w:ilvl w:val="0"/>
          <w:numId w:val="2"/>
        </w:numPr>
        <w:pBdr>
          <w:top w:val="nil"/>
          <w:left w:val="nil"/>
          <w:bottom w:val="nil"/>
          <w:right w:val="nil"/>
          <w:between w:val="nil"/>
        </w:pBdr>
        <w:spacing w:after="0"/>
        <w:jc w:val="both"/>
      </w:pPr>
      <w:r>
        <w:rPr>
          <w:color w:val="000000"/>
        </w:rPr>
        <w:t xml:space="preserve">International </w:t>
      </w:r>
      <w:proofErr w:type="spellStart"/>
      <w:r>
        <w:rPr>
          <w:color w:val="000000"/>
        </w:rPr>
        <w:t>Association</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Gerontology</w:t>
      </w:r>
      <w:proofErr w:type="spellEnd"/>
      <w:r>
        <w:rPr>
          <w:color w:val="000000"/>
        </w:rPr>
        <w:t xml:space="preserve"> and </w:t>
      </w:r>
      <w:proofErr w:type="spellStart"/>
      <w:r>
        <w:rPr>
          <w:color w:val="000000"/>
        </w:rPr>
        <w:t>Geriatrics</w:t>
      </w:r>
      <w:proofErr w:type="spellEnd"/>
      <w:r>
        <w:rPr>
          <w:color w:val="000000"/>
        </w:rPr>
        <w:t xml:space="preserve"> (IAGG)</w:t>
      </w:r>
    </w:p>
    <w:p w14:paraId="0000001E" w14:textId="77777777" w:rsidR="000313D2" w:rsidRDefault="00000000">
      <w:pPr>
        <w:numPr>
          <w:ilvl w:val="0"/>
          <w:numId w:val="2"/>
        </w:numPr>
        <w:pBdr>
          <w:top w:val="nil"/>
          <w:left w:val="nil"/>
          <w:bottom w:val="nil"/>
          <w:right w:val="nil"/>
          <w:between w:val="nil"/>
        </w:pBdr>
        <w:spacing w:after="0"/>
        <w:jc w:val="both"/>
      </w:pPr>
      <w:r>
        <w:rPr>
          <w:color w:val="000000"/>
        </w:rPr>
        <w:t>IADELA (</w:t>
      </w:r>
      <w:proofErr w:type="spellStart"/>
      <w:r>
        <w:rPr>
          <w:color w:val="000000"/>
        </w:rPr>
        <w:t>Asociacion</w:t>
      </w:r>
      <w:proofErr w:type="spellEnd"/>
      <w:r>
        <w:rPr>
          <w:color w:val="000000"/>
        </w:rPr>
        <w:t xml:space="preserve"> Civil)</w:t>
      </w:r>
    </w:p>
    <w:p w14:paraId="0000001F" w14:textId="77777777" w:rsidR="000313D2" w:rsidRDefault="00000000">
      <w:pPr>
        <w:numPr>
          <w:ilvl w:val="0"/>
          <w:numId w:val="2"/>
        </w:numPr>
        <w:pBdr>
          <w:top w:val="nil"/>
          <w:left w:val="nil"/>
          <w:bottom w:val="nil"/>
          <w:right w:val="nil"/>
          <w:between w:val="nil"/>
        </w:pBdr>
        <w:spacing w:after="0"/>
        <w:jc w:val="both"/>
      </w:pPr>
      <w:r>
        <w:rPr>
          <w:color w:val="000000"/>
        </w:rPr>
        <w:t>Facultad de Derecho, Universidad Nacional del Centro de la Provincia de Buenos Aires (UNICEN).</w:t>
      </w:r>
    </w:p>
    <w:p w14:paraId="00000020" w14:textId="77777777" w:rsidR="000313D2" w:rsidRDefault="00000000">
      <w:pPr>
        <w:numPr>
          <w:ilvl w:val="0"/>
          <w:numId w:val="2"/>
        </w:numPr>
        <w:pBdr>
          <w:top w:val="nil"/>
          <w:left w:val="nil"/>
          <w:bottom w:val="nil"/>
          <w:right w:val="nil"/>
          <w:between w:val="nil"/>
        </w:pBdr>
        <w:spacing w:after="0"/>
        <w:jc w:val="both"/>
      </w:pPr>
      <w:r>
        <w:rPr>
          <w:color w:val="000000"/>
        </w:rPr>
        <w:t>Fundación Navarro Viola (FNV)</w:t>
      </w:r>
    </w:p>
    <w:p w14:paraId="00000021" w14:textId="77777777" w:rsidR="000313D2" w:rsidRDefault="00000000">
      <w:pPr>
        <w:numPr>
          <w:ilvl w:val="0"/>
          <w:numId w:val="2"/>
        </w:numPr>
        <w:pBdr>
          <w:top w:val="nil"/>
          <w:left w:val="nil"/>
          <w:bottom w:val="nil"/>
          <w:right w:val="nil"/>
          <w:between w:val="nil"/>
        </w:pBdr>
        <w:spacing w:after="0"/>
        <w:jc w:val="both"/>
      </w:pPr>
      <w:proofErr w:type="spellStart"/>
      <w:r>
        <w:rPr>
          <w:color w:val="000000"/>
        </w:rPr>
        <w:t>Fundacion</w:t>
      </w:r>
      <w:proofErr w:type="spellEnd"/>
      <w:r>
        <w:rPr>
          <w:color w:val="000000"/>
        </w:rPr>
        <w:t xml:space="preserve"> </w:t>
      </w:r>
      <w:proofErr w:type="spellStart"/>
      <w:r>
        <w:rPr>
          <w:color w:val="000000"/>
        </w:rPr>
        <w:t>Support</w:t>
      </w:r>
      <w:proofErr w:type="spellEnd"/>
      <w:r>
        <w:rPr>
          <w:color w:val="000000"/>
        </w:rPr>
        <w:t xml:space="preserve"> de Girona.</w:t>
      </w:r>
    </w:p>
    <w:p w14:paraId="00000022" w14:textId="77777777" w:rsidR="000313D2" w:rsidRDefault="00000000">
      <w:pPr>
        <w:numPr>
          <w:ilvl w:val="0"/>
          <w:numId w:val="2"/>
        </w:numPr>
        <w:pBdr>
          <w:top w:val="nil"/>
          <w:left w:val="nil"/>
          <w:bottom w:val="nil"/>
          <w:right w:val="nil"/>
          <w:between w:val="nil"/>
        </w:pBdr>
        <w:spacing w:after="0"/>
        <w:jc w:val="both"/>
      </w:pPr>
      <w:r>
        <w:rPr>
          <w:color w:val="000000"/>
        </w:rPr>
        <w:t>Maestría en Derecho de la Vejez, Universidad Nacional de Córdoba (UNC)</w:t>
      </w:r>
    </w:p>
    <w:p w14:paraId="00000023" w14:textId="77777777" w:rsidR="000313D2" w:rsidRDefault="00000000">
      <w:pPr>
        <w:numPr>
          <w:ilvl w:val="0"/>
          <w:numId w:val="2"/>
        </w:numPr>
        <w:pBdr>
          <w:top w:val="nil"/>
          <w:left w:val="nil"/>
          <w:bottom w:val="nil"/>
          <w:right w:val="nil"/>
          <w:between w:val="nil"/>
        </w:pBdr>
        <w:spacing w:after="0"/>
        <w:jc w:val="both"/>
      </w:pPr>
      <w:r>
        <w:rPr>
          <w:color w:val="000000"/>
        </w:rPr>
        <w:t>Ministerio Público Fiscal de la Provincia de Buenos Aires</w:t>
      </w:r>
    </w:p>
    <w:p w14:paraId="00000024" w14:textId="77777777" w:rsidR="000313D2" w:rsidRDefault="00000000">
      <w:pPr>
        <w:numPr>
          <w:ilvl w:val="0"/>
          <w:numId w:val="2"/>
        </w:numPr>
        <w:pBdr>
          <w:top w:val="nil"/>
          <w:left w:val="nil"/>
          <w:bottom w:val="nil"/>
          <w:right w:val="nil"/>
          <w:between w:val="nil"/>
        </w:pBdr>
        <w:spacing w:after="0"/>
        <w:jc w:val="both"/>
      </w:pPr>
      <w:r>
        <w:rPr>
          <w:color w:val="000000"/>
        </w:rPr>
        <w:t>Secretaría de Bienestar Integral. Vice Jefatura del Gobierno de la Ciudad de Buenos Aires</w:t>
      </w:r>
    </w:p>
    <w:p w14:paraId="00000025" w14:textId="77777777" w:rsidR="000313D2" w:rsidRDefault="00000000">
      <w:pPr>
        <w:numPr>
          <w:ilvl w:val="0"/>
          <w:numId w:val="2"/>
        </w:numPr>
        <w:pBdr>
          <w:top w:val="nil"/>
          <w:left w:val="nil"/>
          <w:bottom w:val="nil"/>
          <w:right w:val="nil"/>
          <w:between w:val="nil"/>
        </w:pBdr>
        <w:spacing w:after="0"/>
        <w:jc w:val="both"/>
      </w:pPr>
      <w:r>
        <w:rPr>
          <w:color w:val="000000"/>
        </w:rPr>
        <w:t>Sociedad Argentina de Geriatría y Gerontología (SAAG)</w:t>
      </w:r>
    </w:p>
    <w:p w14:paraId="00000026" w14:textId="77777777" w:rsidR="000313D2" w:rsidRDefault="00000000">
      <w:pPr>
        <w:numPr>
          <w:ilvl w:val="0"/>
          <w:numId w:val="2"/>
        </w:numPr>
        <w:pBdr>
          <w:top w:val="nil"/>
          <w:left w:val="nil"/>
          <w:bottom w:val="nil"/>
          <w:right w:val="nil"/>
          <w:between w:val="nil"/>
        </w:pBdr>
        <w:jc w:val="both"/>
      </w:pPr>
      <w:r>
        <w:rPr>
          <w:color w:val="000000"/>
        </w:rPr>
        <w:lastRenderedPageBreak/>
        <w:t>Universidad Notarial Argentina</w:t>
      </w:r>
    </w:p>
    <w:p w14:paraId="00000027" w14:textId="77777777" w:rsidR="000313D2" w:rsidRDefault="00000000">
      <w:pPr>
        <w:jc w:val="both"/>
      </w:pPr>
      <w:r>
        <w:t>Este evento reunirá a expertos internacionales en el campo de los apoyos y cuidados, ofreciendo una plataforma única para el intercambio de conocimientos y experiencias. Los asistentes tendrán la oportunidad de participar en discusiones y actividades que abordarán los desafíos y oportunidades en la implementación de políticas y prácticas que favorezcan la autonomía personal de las personas mayores.</w:t>
      </w:r>
    </w:p>
    <w:p w14:paraId="00000028" w14:textId="77777777" w:rsidR="000313D2" w:rsidRDefault="00000000">
      <w:pPr>
        <w:jc w:val="both"/>
      </w:pPr>
      <w:r>
        <w:t xml:space="preserve">Para más información sobre el Congreso Mundial de Apoyos y Cuidados de Personas Adultas y Mayores, y para inscribirse, visite el sitio web </w:t>
      </w:r>
      <w:hyperlink r:id="rId5">
        <w:r>
          <w:rPr>
            <w:color w:val="0563C1"/>
            <w:u w:val="single"/>
          </w:rPr>
          <w:t>https://accionespositivas.com.ar/</w:t>
        </w:r>
      </w:hyperlink>
    </w:p>
    <w:p w14:paraId="00000029" w14:textId="77777777" w:rsidR="000313D2" w:rsidRDefault="000313D2"/>
    <w:p w14:paraId="0000002A" w14:textId="77777777" w:rsidR="000313D2" w:rsidRDefault="000313D2"/>
    <w:sectPr w:rsidR="000313D2">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F70638"/>
    <w:multiLevelType w:val="multilevel"/>
    <w:tmpl w:val="715C3E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FF23793"/>
    <w:multiLevelType w:val="multilevel"/>
    <w:tmpl w:val="6E8442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0385681">
    <w:abstractNumId w:val="0"/>
  </w:num>
  <w:num w:numId="2" w16cid:durableId="1387683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3D2"/>
    <w:rsid w:val="000313D2"/>
    <w:rsid w:val="009403CD"/>
    <w:rsid w:val="00C7141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C6B156-9E32-4EA5-94EC-8F407B96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ccionespositivas.com.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5686</Characters>
  <Application>Microsoft Office Word</Application>
  <DocSecurity>0</DocSecurity>
  <Lines>47</Lines>
  <Paragraphs>13</Paragraphs>
  <ScaleCrop>false</ScaleCrop>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Eleonora Massa</dc:creator>
  <cp:lastModifiedBy>Ivana Eleonora Massa</cp:lastModifiedBy>
  <cp:revision>2</cp:revision>
  <dcterms:created xsi:type="dcterms:W3CDTF">2024-07-31T13:28:00Z</dcterms:created>
  <dcterms:modified xsi:type="dcterms:W3CDTF">2024-07-31T13:28:00Z</dcterms:modified>
</cp:coreProperties>
</file>